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AE" w:rsidRPr="00B24A10" w:rsidRDefault="00700B1D">
      <w:pPr>
        <w:jc w:val="center"/>
        <w:rPr>
          <w:color w:val="002060"/>
        </w:rPr>
      </w:pPr>
      <w:r w:rsidRPr="00B24A10">
        <w:rPr>
          <w:b/>
          <w:color w:val="002060"/>
          <w:sz w:val="32"/>
        </w:rPr>
        <w:t>SWOT Analysis – ACT (2024–2025)</w:t>
      </w:r>
    </w:p>
    <w:p w:rsidR="00687F98" w:rsidRDefault="00687F98">
      <w:pPr>
        <w:rPr>
          <w:b/>
          <w:color w:val="008000"/>
          <w:sz w:val="28"/>
        </w:rPr>
      </w:pPr>
      <w:r>
        <w:rPr>
          <w:b/>
          <w:noProof/>
          <w:color w:val="008000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37465</wp:posOffset>
                </wp:positionV>
                <wp:extent cx="4419600" cy="1905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090C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.95pt" to="39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" strokecolor="#1f497d [3215]" strokeweight="2pt">
                <v:shadow on="t" color="black" opacity="24903f" origin=",.5" offset="0,.55556mm"/>
              </v:line>
            </w:pict>
          </mc:Fallback>
        </mc:AlternateContent>
      </w:r>
    </w:p>
    <w:p w:rsidR="00451EAE" w:rsidRDefault="00700B1D">
      <w:r>
        <w:rPr>
          <w:b/>
          <w:color w:val="008000"/>
          <w:sz w:val="28"/>
        </w:rPr>
        <w:t>Strengths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Sustained Growth: Significant year-on-year increases across multiple programs (e.g., 40% more participants in mental health support, 50% more adults engaged in English conversation classes).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Diverse Program Portfolio: Comprehensive delivery across education, health and wellbeing, community engagement, and organizational development, meeting a wide spectrum of community needs.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Strategic Partnerships: Strong collaborations with the NHS, Sheffield City Council, and local organizations, enhancing both impact and access to resources.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Measurable Community Impact: Demonstrated success stories that highlight empowerment, social integration, and improved wellbeing.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Recognition &amp; Quality Standards: Maintained a 5-star Social Café rating, achieved the Matrix Standard with commendation, exceeded contractual targets, and secured Direct Claims Status from Gateway Qualifications for ESOL qualifications at Entry 3 and Level 1.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Workforce Development: Steady staff and volunteer recruitment and retention supporting sustainable growth.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Enhanced Digital Outreach: Expanded visibility and engagement through media partnerships and an improved online presence.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Financial Resilience: Consistent income streams and a healthy surplus providing a stable financial foundation.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Supportive Workplace Culture: Flexible working practices, strong staff wellbeing support, and wages above the minimum standard.</w:t>
      </w:r>
    </w:p>
    <w:p w:rsidR="00687F98" w:rsidRDefault="00687F98" w:rsidP="00687F98">
      <w:pPr>
        <w:tabs>
          <w:tab w:val="left" w:pos="1485"/>
        </w:tabs>
        <w:rPr>
          <w:b/>
          <w:color w:val="FFA500"/>
          <w:sz w:val="28"/>
        </w:rPr>
      </w:pPr>
      <w:r>
        <w:rPr>
          <w:b/>
          <w:noProof/>
          <w:color w:val="008000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8DF9B" wp14:editId="046716B4">
                <wp:simplePos x="0" y="0"/>
                <wp:positionH relativeFrom="column">
                  <wp:posOffset>495300</wp:posOffset>
                </wp:positionH>
                <wp:positionV relativeFrom="paragraph">
                  <wp:posOffset>161290</wp:posOffset>
                </wp:positionV>
                <wp:extent cx="4419600" cy="1905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F28B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2.7pt" to="38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" strokecolor="#1f497d [3215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color w:val="FFA500"/>
          <w:sz w:val="28"/>
        </w:rPr>
        <w:tab/>
      </w:r>
    </w:p>
    <w:p w:rsidR="00451EAE" w:rsidRDefault="00700B1D">
      <w:r>
        <w:rPr>
          <w:b/>
          <w:color w:val="FFA500"/>
          <w:sz w:val="28"/>
        </w:rPr>
        <w:t>Weaknesses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Limited Volunteer Growth: Only a 5% increase, constraining capacity to expand programs further.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Dependency on Partnerships: Heavy reliance on external organizations (NHS, councils, funders) creates vulnerability to shifting priorities or funding reductions.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Restricted Program Scale: Despite growth, some initiatives (e.g., youth sports, ESOL classes) still operate on a relatively small scale.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Capacity Pressures: Rising demand for services risks stretching staff, volunteers, and infrastructure.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lastRenderedPageBreak/>
        <w:t>Underdeveloped Marketing: High-quality delivery is not yet matched by strong external promotion to the wider public and potential funders.</w:t>
      </w:r>
    </w:p>
    <w:p w:rsidR="00687F98" w:rsidRDefault="00687F98">
      <w:pPr>
        <w:rPr>
          <w:b/>
          <w:color w:val="0066CC"/>
          <w:sz w:val="28"/>
        </w:rPr>
      </w:pPr>
      <w:r>
        <w:rPr>
          <w:b/>
          <w:noProof/>
          <w:color w:val="008000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8DF9B" wp14:editId="046716B4">
                <wp:simplePos x="0" y="0"/>
                <wp:positionH relativeFrom="column">
                  <wp:posOffset>533400</wp:posOffset>
                </wp:positionH>
                <wp:positionV relativeFrom="paragraph">
                  <wp:posOffset>56515</wp:posOffset>
                </wp:positionV>
                <wp:extent cx="4419600" cy="19050"/>
                <wp:effectExtent l="38100" t="38100" r="762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2ECF6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4.45pt" to="390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" strokecolor="#1f497d" strokeweight="2pt">
                <v:shadow on="t" color="black" opacity="24903f" origin=",.5" offset="0,.55556mm"/>
              </v:line>
            </w:pict>
          </mc:Fallback>
        </mc:AlternateContent>
      </w:r>
    </w:p>
    <w:p w:rsidR="00451EAE" w:rsidRDefault="00700B1D">
      <w:r>
        <w:rPr>
          <w:b/>
          <w:color w:val="0066CC"/>
          <w:sz w:val="28"/>
        </w:rPr>
        <w:t>Opportunities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Community Engagement Expansion: Harness success stories and digital reach to recruit more volunteers, supporters, and donors.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Growth in Adult Learning: Build on the 25–50% increase in literacy, numeracy, and conversation classes to further support integration and employment pathways.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Health Initiatives Development: Extend successful health events to address additional community health needs and strengthen NHS collaborations.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Digital Innovation: Broaden advocacy and reach through enhanced digital platforms and media partnerships.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Funding Diversification: Use impact data, recognition, and awards to attract new grants, contracts, and corporate partnerships.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Internal Income Growth: Increase earned income through more effective marketing and service promotion.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Stronger Public Profile: Invest in publicity campaigns, website improvements, and broader promotion to increase visibility and influence.</w:t>
      </w:r>
    </w:p>
    <w:p w:rsidR="00687F98" w:rsidRDefault="00687F98">
      <w:pPr>
        <w:rPr>
          <w:b/>
          <w:color w:val="B22222"/>
          <w:sz w:val="28"/>
        </w:rPr>
      </w:pPr>
      <w:r>
        <w:rPr>
          <w:b/>
          <w:noProof/>
          <w:color w:val="008000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8DF9B" wp14:editId="046716B4">
                <wp:simplePos x="0" y="0"/>
                <wp:positionH relativeFrom="column">
                  <wp:posOffset>533400</wp:posOffset>
                </wp:positionH>
                <wp:positionV relativeFrom="paragraph">
                  <wp:posOffset>185420</wp:posOffset>
                </wp:positionV>
                <wp:extent cx="4419600" cy="19050"/>
                <wp:effectExtent l="38100" t="38100" r="7620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876BE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4.6pt" to="390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" strokecolor="#1f497d [3215]" strokeweight="2pt">
                <v:shadow on="t" color="black" opacity="24903f" origin=",.5" offset="0,.55556mm"/>
              </v:line>
            </w:pict>
          </mc:Fallback>
        </mc:AlternateContent>
      </w:r>
    </w:p>
    <w:p w:rsidR="00451EAE" w:rsidRDefault="00700B1D">
      <w:r>
        <w:rPr>
          <w:b/>
          <w:color w:val="B22222"/>
          <w:sz w:val="28"/>
        </w:rPr>
        <w:t>Threats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Funding Instability: Dependence on public contracts and partnerships leaves ACT vulnerable to cuts or policy shifts. Sheffield City Council has already signaled possible reductions in Adult Learning funding.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Demand vs. Capacity: Rapidly growing demand risks outpacing resources, particularly in youth and language programs.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Economic &amp; Political Risks: Wider economic challenges or policy changes could undermine social program support; active monitoring of government priorities is essential.</w:t>
      </w:r>
    </w:p>
    <w:p w:rsidR="00451EAE" w:rsidRPr="00022598" w:rsidRDefault="00700B1D">
      <w:pPr>
        <w:pStyle w:val="ListBullet"/>
        <w:spacing w:after="120"/>
        <w:rPr>
          <w:rFonts w:asciiTheme="majorBidi" w:hAnsiTheme="majorBidi" w:cstheme="majorBidi"/>
          <w:sz w:val="24"/>
          <w:szCs w:val="24"/>
        </w:rPr>
      </w:pPr>
      <w:r w:rsidRPr="00022598">
        <w:rPr>
          <w:rFonts w:asciiTheme="majorBidi" w:hAnsiTheme="majorBidi" w:cstheme="majorBidi"/>
          <w:sz w:val="24"/>
          <w:szCs w:val="24"/>
        </w:rPr>
        <w:t>Volunteer Retention Risks: Modest volunteer growth may lead to over-reliance on a small pool, risking burnout and reduced program delivery. Greater investment in volunteer engagement is required.</w:t>
      </w:r>
    </w:p>
    <w:p w:rsidR="00451EAE" w:rsidRPr="00687F98" w:rsidRDefault="00687F98" w:rsidP="00687F98">
      <w:pPr>
        <w:rPr>
          <w:rFonts w:asciiTheme="majorBidi" w:hAnsiTheme="majorBidi" w:cstheme="majorBidi"/>
          <w:b/>
        </w:rPr>
      </w:pPr>
      <w:r>
        <w:rPr>
          <w:b/>
          <w:noProof/>
          <w:color w:val="008000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8DF9B" wp14:editId="046716B4">
                <wp:simplePos x="0" y="0"/>
                <wp:positionH relativeFrom="column">
                  <wp:posOffset>695325</wp:posOffset>
                </wp:positionH>
                <wp:positionV relativeFrom="paragraph">
                  <wp:posOffset>37465</wp:posOffset>
                </wp:positionV>
                <wp:extent cx="4419600" cy="19050"/>
                <wp:effectExtent l="38100" t="38100" r="7620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F2B7F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2.95pt" to="402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" strokecolor="#1f497d [3215]" strokeweight="2pt">
                <v:shadow on="t" color="black" opacity="24903f" origin=",.5" offset="0,.55556mm"/>
              </v:line>
            </w:pict>
          </mc:Fallback>
        </mc:AlternateContent>
      </w:r>
      <w:r w:rsidR="00700B1D">
        <w:rPr>
          <w:b/>
        </w:rPr>
        <w:br/>
      </w:r>
      <w:bookmarkStart w:id="0" w:name="_GoBack"/>
      <w:bookmarkEnd w:id="0"/>
      <w:r w:rsidR="00700B1D" w:rsidRPr="00F252A1">
        <w:rPr>
          <w:rFonts w:asciiTheme="majorBidi" w:hAnsiTheme="majorBidi" w:cstheme="majorBidi"/>
          <w:b/>
        </w:rPr>
        <w:t xml:space="preserve">Prepared by: </w:t>
      </w:r>
      <w:r w:rsidR="00700B1D" w:rsidRPr="00F252A1">
        <w:rPr>
          <w:rFonts w:asciiTheme="majorBidi" w:hAnsiTheme="majorBidi" w:cstheme="majorBidi"/>
        </w:rPr>
        <w:t>Abdul Galil Shaif</w:t>
      </w:r>
      <w:r w:rsidR="00700B1D" w:rsidRPr="00F252A1">
        <w:rPr>
          <w:rFonts w:asciiTheme="majorBidi" w:hAnsiTheme="majorBidi" w:cstheme="majorBidi"/>
        </w:rPr>
        <w:br/>
      </w:r>
      <w:r w:rsidR="00700B1D" w:rsidRPr="00F252A1">
        <w:rPr>
          <w:rFonts w:asciiTheme="majorBidi" w:hAnsiTheme="majorBidi" w:cstheme="majorBidi"/>
          <w:b/>
        </w:rPr>
        <w:t xml:space="preserve">Position: </w:t>
      </w:r>
      <w:r w:rsidR="00700B1D" w:rsidRPr="00F252A1">
        <w:rPr>
          <w:rFonts w:asciiTheme="majorBidi" w:hAnsiTheme="majorBidi" w:cstheme="majorBidi"/>
        </w:rPr>
        <w:t>Chief Executive Officer, ACT</w:t>
      </w:r>
      <w:r w:rsidR="00700B1D" w:rsidRPr="00F252A1">
        <w:rPr>
          <w:rFonts w:asciiTheme="majorBidi" w:hAnsiTheme="majorBidi" w:cstheme="majorBidi"/>
        </w:rPr>
        <w:br/>
      </w:r>
    </w:p>
    <w:sectPr w:rsidR="00451EAE" w:rsidRPr="00687F9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02" w:rsidRDefault="00944A02" w:rsidP="00A41A32">
      <w:pPr>
        <w:spacing w:after="0" w:line="240" w:lineRule="auto"/>
      </w:pPr>
      <w:r>
        <w:separator/>
      </w:r>
    </w:p>
  </w:endnote>
  <w:endnote w:type="continuationSeparator" w:id="0">
    <w:p w:rsidR="00944A02" w:rsidRDefault="00944A02" w:rsidP="00A4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i/>
        <w:iCs/>
      </w:rPr>
      <w:id w:val="1891760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A32" w:rsidRPr="00A41A32" w:rsidRDefault="00A41A32" w:rsidP="00A41A32">
        <w:pPr>
          <w:pStyle w:val="Footer"/>
          <w:rPr>
            <w:rFonts w:asciiTheme="majorBidi" w:hAnsiTheme="majorBidi" w:cstheme="majorBidi"/>
            <w:i/>
            <w:iCs/>
          </w:rPr>
        </w:pPr>
        <w:r w:rsidRPr="00A41A32">
          <w:rPr>
            <w:rFonts w:asciiTheme="majorBidi" w:hAnsiTheme="majorBidi" w:cstheme="majorBidi"/>
            <w:i/>
            <w:iCs/>
          </w:rPr>
          <w:t xml:space="preserve">21 August 2025                                                                                                                       Page </w:t>
        </w:r>
        <w:r w:rsidRPr="00A41A32">
          <w:rPr>
            <w:rFonts w:asciiTheme="majorBidi" w:hAnsiTheme="majorBidi" w:cstheme="majorBidi"/>
            <w:i/>
            <w:iCs/>
          </w:rPr>
          <w:fldChar w:fldCharType="begin"/>
        </w:r>
        <w:r w:rsidRPr="00A41A32">
          <w:rPr>
            <w:rFonts w:asciiTheme="majorBidi" w:hAnsiTheme="majorBidi" w:cstheme="majorBidi"/>
            <w:i/>
            <w:iCs/>
          </w:rPr>
          <w:instrText xml:space="preserve"> PAGE   \* MERGEFORMAT </w:instrText>
        </w:r>
        <w:r w:rsidRPr="00A41A32">
          <w:rPr>
            <w:rFonts w:asciiTheme="majorBidi" w:hAnsiTheme="majorBidi" w:cstheme="majorBidi"/>
            <w:i/>
            <w:iCs/>
          </w:rPr>
          <w:fldChar w:fldCharType="separate"/>
        </w:r>
        <w:r w:rsidR="00687F98">
          <w:rPr>
            <w:rFonts w:asciiTheme="majorBidi" w:hAnsiTheme="majorBidi" w:cstheme="majorBidi"/>
            <w:i/>
            <w:iCs/>
            <w:noProof/>
          </w:rPr>
          <w:t>1</w:t>
        </w:r>
        <w:r w:rsidRPr="00A41A32">
          <w:rPr>
            <w:rFonts w:asciiTheme="majorBidi" w:hAnsiTheme="majorBidi" w:cstheme="majorBidi"/>
            <w:i/>
            <w:iCs/>
            <w:noProof/>
          </w:rPr>
          <w:fldChar w:fldCharType="end"/>
        </w:r>
      </w:p>
    </w:sdtContent>
  </w:sdt>
  <w:p w:rsidR="00A41A32" w:rsidRDefault="00A4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02" w:rsidRDefault="00944A02" w:rsidP="00A41A32">
      <w:pPr>
        <w:spacing w:after="0" w:line="240" w:lineRule="auto"/>
      </w:pPr>
      <w:r>
        <w:separator/>
      </w:r>
    </w:p>
  </w:footnote>
  <w:footnote w:type="continuationSeparator" w:id="0">
    <w:p w:rsidR="00944A02" w:rsidRDefault="00944A02" w:rsidP="00A4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A32" w:rsidRDefault="00A41A3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4371975</wp:posOffset>
          </wp:positionH>
          <wp:positionV relativeFrom="paragraph">
            <wp:posOffset>-200025</wp:posOffset>
          </wp:positionV>
          <wp:extent cx="1600200" cy="495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598"/>
    <w:rsid w:val="00034616"/>
    <w:rsid w:val="0006063C"/>
    <w:rsid w:val="0015074B"/>
    <w:rsid w:val="00200713"/>
    <w:rsid w:val="0029639D"/>
    <w:rsid w:val="00326F90"/>
    <w:rsid w:val="003911D8"/>
    <w:rsid w:val="00451EAE"/>
    <w:rsid w:val="00536DE4"/>
    <w:rsid w:val="00687F98"/>
    <w:rsid w:val="00700B1D"/>
    <w:rsid w:val="008202B6"/>
    <w:rsid w:val="00944A02"/>
    <w:rsid w:val="00A41A32"/>
    <w:rsid w:val="00AA1D8D"/>
    <w:rsid w:val="00B24A10"/>
    <w:rsid w:val="00B47730"/>
    <w:rsid w:val="00CB0664"/>
    <w:rsid w:val="00F252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1E4370"/>
  <w14:defaultImageDpi w14:val="300"/>
  <w15:docId w15:val="{58581621-CB32-4492-8157-A80161F2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25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65413-AA83-4B1B-BBCB-F6FAA3CB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IT-Admin</cp:lastModifiedBy>
  <cp:revision>8</cp:revision>
  <cp:lastPrinted>2025-08-21T10:06:00Z</cp:lastPrinted>
  <dcterms:created xsi:type="dcterms:W3CDTF">2013-12-23T23:15:00Z</dcterms:created>
  <dcterms:modified xsi:type="dcterms:W3CDTF">2025-08-21T11:09:00Z</dcterms:modified>
  <cp:category/>
</cp:coreProperties>
</file>